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15 minute RAFT</w:t>
      </w:r>
      <w:r>
        <w:rPr>
          <w:rFonts w:ascii="Arial" w:hAnsi="Arial"/>
          <w:position w:val="26"/>
          <w:sz w:val="16"/>
        </w:rPr>
        <w:t>TM</w:t>
      </w:r>
      <w:r>
        <w:t xml:space="preserve"> classroom activities</w:t>
      </w:r>
    </w:p>
    <w:p>
      <w:r>
        <w:rPr>
          <w:b w:val="0"/>
        </w:rPr>
        <w:t>Classroom activities</w:t>
      </w:r>
    </w:p>
    <w:p>
      <w:pPr>
        <w:pStyle w:val="Heading1"/>
      </w:pPr>
      <w:r>
        <w:t>Find the learning boundary</w:t>
      </w:r>
    </w:p>
    <w:p>
      <w:r>
        <w:rPr>
          <w:b w:val="0"/>
        </w:rPr>
        <w:t>Student activity sheet</w:t>
      </w:r>
    </w:p>
    <w:p>
      <w:pPr>
        <w:keepLines/>
        <w:shd w:fill="F5F1E8"/>
        <w:spacing w:before="160" w:after="200"/>
        <w:ind w:left="130" w:right="130"/>
      </w:pPr>
      <w:r>
        <w:rPr>
          <w:b w:val="0"/>
        </w:rPr>
      </w:r>
      <w:r>
        <w:rPr>
          <w:b/>
          <w:color w:val="17323B"/>
        </w:rPr>
        <w:t>Learning goal</w:t>
        <w:br/>
      </w:r>
      <w:r>
        <w:t>Choose an allowed form of support without outsourcing the assessed thinking.</w:t>
      </w:r>
    </w:p>
    <w:p>
      <w:pPr>
        <w:spacing w:after="0" w:before="0" w:line="60" w:lineRule="exact"/>
      </w:pPr>
      <w:r>
        <w:rPr>
          <w:b w:val="0"/>
        </w:rPr>
      </w:r>
      <w:r>
        <w:rPr>
          <w:sz w:val="6"/>
        </w:rPr>
      </w:r>
    </w:p>
    <w:p>
      <w:r>
        <w:rPr>
          <w:b w:val="0"/>
        </w:rPr>
        <w:t>An assignment assesses your ability to interpret a short reading. The instructor permits feedback on your own interpretation, but not generated summaries or submitted wording.</w:t>
      </w:r>
    </w:p>
    <w:p>
      <w:r>
        <w:rPr>
          <w:b w:val="0"/>
        </w:rPr>
        <w:t>Compare three requests: A. Summarize the reading so I can skip it. B. Here is my interpretation; ask me about a possible gap without rewriting it. C. Write my discussion post and I will change the wording.</w:t>
      </w:r>
    </w:p>
    <w:p>
      <w:pPr>
        <w:pStyle w:val="Heading1"/>
      </w:pPr>
      <w:r>
        <w:t>Your task</w:t>
      </w:r>
    </w:p>
    <w:p>
      <w:r>
        <w:rPr>
          <w:b w:val="0"/>
        </w:rPr>
        <w:t>Choose the request consistent with the stated permission. Explain why the others cross the boundary. Draft one question to ask if permission is unclear.</w:t>
      </w:r>
    </w:p>
    <w:p>
      <w:r>
        <w:rPr>
          <w:b w:val="0"/>
        </w:rPr>
        <w:t>Your decision and evidence</w:t>
        <w:br/>
        <w:t>____________________________________________________________</w:t>
        <w:br/>
        <w:br/>
        <w:t>____________________________________________________________</w:t>
      </w:r>
    </w:p>
    <w:p>
      <w:r>
        <w:rPr>
          <w:b w:val="0"/>
        </w:rPr>
        <w:t>Your revised request or sentence</w:t>
        <w:br/>
        <w:t>____________________________________________________________</w:t>
        <w:br/>
        <w:br/>
        <w:t>____________________________________________________________</w:t>
      </w:r>
    </w:p>
    <w:p>
      <w:pPr>
        <w:pStyle w:val="Heading1"/>
      </w:pPr>
      <w:r>
        <w:t>Exit response</w:t>
      </w:r>
    </w:p>
    <w:p>
      <w:r>
        <w:rPr>
          <w:b w:val="0"/>
        </w:rPr>
        <w:t>I will do ___ independently. If permitted, I will ask AI to ___.</w:t>
      </w:r>
    </w:p>
    <w:p>
      <w:r>
        <w:rPr>
          <w:b w:val="0"/>
        </w:rPr>
        <w:t>Course and assignment rules control actual AI use. These activities use supplied simulated outputs; no AI account is needed.</w:t>
      </w:r>
    </w:p>
    <w:p>
      <w:pPr>
        <w:pStyle w:val="Heading1"/>
        <w:pageBreakBefore/>
      </w:pPr>
      <w:r>
        <w:t>Check a confident claim</w:t>
      </w:r>
    </w:p>
    <w:p>
      <w:r>
        <w:rPr>
          <w:b w:val="0"/>
        </w:rPr>
        <w:t>Student activity sheet</w:t>
      </w:r>
    </w:p>
    <w:p>
      <w:pPr>
        <w:keepLines/>
        <w:shd w:fill="F5F1E8"/>
        <w:spacing w:before="160" w:after="200"/>
        <w:ind w:left="130" w:right="130"/>
      </w:pPr>
      <w:r>
        <w:rPr>
          <w:b w:val="0"/>
        </w:rPr>
      </w:r>
      <w:r>
        <w:rPr>
          <w:b/>
          <w:color w:val="17323B"/>
        </w:rPr>
        <w:t>Learning goal</w:t>
        <w:br/>
      </w:r>
      <w:r>
        <w:t>Use source evidence to correct an overconfident AI statement.</w:t>
      </w:r>
    </w:p>
    <w:p>
      <w:pPr>
        <w:spacing w:after="0" w:before="0" w:line="60" w:lineRule="exact"/>
      </w:pPr>
      <w:r>
        <w:rPr>
          <w:b w:val="0"/>
        </w:rPr>
      </w:r>
      <w:r>
        <w:rPr>
          <w:sz w:val="6"/>
        </w:rPr>
      </w:r>
    </w:p>
    <w:p>
      <w:r>
        <w:rPr>
          <w:b w:val="0"/>
        </w:rPr>
        <w:t>Simulated source: 60 volunteers scored an average of 52 before a workshop and 61 afterward. No comparison group or random assignment was used.</w:t>
      </w:r>
    </w:p>
    <w:p>
      <w:r>
        <w:rPr>
          <w:b w:val="0"/>
        </w:rPr>
        <w:t>Simulated AI claim: “The workshop caused a nine-point improvement for all students and will work equally well in every course.”</w:t>
      </w:r>
    </w:p>
    <w:p>
      <w:pPr>
        <w:pStyle w:val="Heading1"/>
      </w:pPr>
      <w:r>
        <w:t>Your task</w:t>
      </w:r>
    </w:p>
    <w:p>
      <w:r>
        <w:rPr>
          <w:b w:val="0"/>
        </w:rPr>
        <w:t>Underline the supported numerical statement. Cross out unsupported claims about cause, population, or future results. Write one accurate replacement sentence.</w:t>
      </w:r>
    </w:p>
    <w:p>
      <w:r>
        <w:rPr>
          <w:b w:val="0"/>
        </w:rPr>
        <w:t>Your decision and evidence</w:t>
        <w:br/>
        <w:t>____________________________________________________________</w:t>
        <w:br/>
        <w:br/>
        <w:t>____________________________________________________________</w:t>
      </w:r>
    </w:p>
    <w:p>
      <w:r>
        <w:rPr>
          <w:b w:val="0"/>
        </w:rPr>
        <w:t>Your revised request or sentence</w:t>
        <w:br/>
        <w:t>____________________________________________________________</w:t>
        <w:br/>
        <w:br/>
        <w:t>____________________________________________________________</w:t>
      </w:r>
    </w:p>
    <w:p>
      <w:pPr>
        <w:pStyle w:val="Heading1"/>
      </w:pPr>
      <w:r>
        <w:t>Exit response</w:t>
      </w:r>
    </w:p>
    <w:p>
      <w:r>
        <w:rPr>
          <w:b w:val="0"/>
        </w:rPr>
        <w:t>One supported statement is ___. One thing the evidence cannot establish is ___.</w:t>
      </w:r>
    </w:p>
    <w:p>
      <w:r>
        <w:rPr>
          <w:b w:val="0"/>
        </w:rPr>
        <w:t>Course and assignment rules control actual AI use. These activities use supplied simulated outputs; no AI account is needed.</w:t>
      </w:r>
    </w:p>
    <w:p>
      <w:pPr>
        <w:pStyle w:val="Heading1"/>
        <w:pageBreakBefore/>
      </w:pPr>
      <w:r>
        <w:t>Accept adapt or reject</w:t>
      </w:r>
    </w:p>
    <w:p>
      <w:r>
        <w:rPr>
          <w:b w:val="0"/>
        </w:rPr>
        <w:t>Student activity sheet</w:t>
      </w:r>
    </w:p>
    <w:p>
      <w:pPr>
        <w:keepLines/>
        <w:shd w:fill="F5F1E8"/>
        <w:spacing w:before="160" w:after="200"/>
        <w:ind w:left="130" w:right="130"/>
      </w:pPr>
      <w:r>
        <w:rPr>
          <w:b w:val="0"/>
        </w:rPr>
      </w:r>
      <w:r>
        <w:rPr>
          <w:b/>
          <w:color w:val="17323B"/>
        </w:rPr>
        <w:t>Learning goal</w:t>
        <w:br/>
      </w:r>
      <w:r>
        <w:t>Explain revision choices while retaining authorship.</w:t>
      </w:r>
    </w:p>
    <w:p>
      <w:pPr>
        <w:spacing w:after="0" w:before="0" w:line="60" w:lineRule="exact"/>
      </w:pPr>
      <w:r>
        <w:rPr>
          <w:b w:val="0"/>
        </w:rPr>
      </w:r>
      <w:r>
        <w:rPr>
          <w:sz w:val="6"/>
        </w:rPr>
      </w:r>
    </w:p>
    <w:p>
      <w:r>
        <w:rPr>
          <w:b w:val="0"/>
        </w:rPr>
        <w:t>Simulated packet: 46 of 80 voluntary respondents want later library hours; three evening counts show 18, 22, and 20 occupied seats out of 24; staffing costs $40 per extra hour.</w:t>
      </w:r>
    </w:p>
    <w:p>
      <w:r>
        <w:rPr>
          <w:b w:val="0"/>
        </w:rPr>
        <w:t>Your draft recommends staying open every night because “most students want it and grades will improve.” Feedback suggests A. Identify the survey denominator. B. Propose a short pilot. C. Add that longer hours improve grades.</w:t>
      </w:r>
    </w:p>
    <w:p>
      <w:pPr>
        <w:pStyle w:val="Heading1"/>
      </w:pPr>
      <w:r>
        <w:t>Your task</w:t>
      </w:r>
    </w:p>
    <w:p>
      <w:r>
        <w:rPr>
          <w:b w:val="0"/>
        </w:rPr>
        <w:t>Classify each suggestion as accept, adapt, or reject, and justify the decision from the packet. Then write your own two-sentence recommendation.</w:t>
      </w:r>
    </w:p>
    <w:p>
      <w:r>
        <w:rPr>
          <w:b w:val="0"/>
        </w:rPr>
        <w:t>Your decision and evidence</w:t>
        <w:br/>
        <w:t>____________________________________________________________</w:t>
        <w:br/>
        <w:br/>
        <w:t>____________________________________________________________</w:t>
      </w:r>
    </w:p>
    <w:p>
      <w:r>
        <w:rPr>
          <w:b w:val="0"/>
        </w:rPr>
        <w:t>Your revised request or sentence</w:t>
        <w:br/>
        <w:t>____________________________________________________________</w:t>
        <w:br/>
        <w:br/>
        <w:t>____________________________________________________________</w:t>
      </w:r>
    </w:p>
    <w:p>
      <w:pPr>
        <w:pStyle w:val="Heading1"/>
      </w:pPr>
      <w:r>
        <w:t>Exit response</w:t>
      </w:r>
    </w:p>
    <w:p>
      <w:r>
        <w:rPr>
          <w:b w:val="0"/>
        </w:rPr>
        <w:t>I changed ___ because ___. I rejected ___ because ___.</w:t>
      </w:r>
    </w:p>
    <w:p>
      <w:r>
        <w:rPr>
          <w:b w:val="0"/>
        </w:rPr>
        <w:t>Course and assignment rules control actual AI use. These activities use supplied simulated outputs; no AI account is needed.</w:t>
      </w:r>
    </w:p>
    <w:p>
      <w:pPr>
        <w:pStyle w:val="Heading1"/>
        <w:pageBreakBefore/>
      </w:pPr>
      <w:r>
        <w:t>Find the learning boundary facilitation</w:t>
      </w:r>
    </w:p>
    <w:p>
      <w:r>
        <w:rPr>
          <w:b w:val="0"/>
        </w:rPr>
        <w:t>One scenario sheet per student. No AI account or device required.</w:t>
      </w:r>
    </w:p>
    <w:tbl>
      <w:tblPr>
        <w:tblW w:type="auto" w:w="0"/>
        <w:tblLayout w:type="fixed"/>
        <w:tblLook w:firstColumn="1" w:firstRow="1" w:lastColumn="0" w:lastRow="0" w:noHBand="0" w:noVBand="1" w:val="04A0"/>
      </w:tblPr>
      <w:tblGrid>
        <w:gridCol w:w="1152"/>
        <w:gridCol w:w="9072"/>
      </w:tblGrid>
      <w:tr>
        <w:trPr>
          <w:tblHeader/>
          <w:cantSplit/>
          <w:cantSplit/>
        </w:trPr>
        <w:tc>
          <w:tcPr>
            <w:tcW w:type="dxa" w:w="1152"/>
            <w:shd w:fill="102E38"/>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52" w:lineRule="auto"/>
            </w:pPr>
            <w:r>
              <w:rPr>
                <w:b/>
                <w:color w:val="FFFFFF"/>
                <w:sz w:val="20"/>
              </w:rPr>
              <w:t>Minutes</w:t>
            </w:r>
          </w:p>
        </w:tc>
        <w:tc>
          <w:tcPr>
            <w:tcW w:type="dxa" w:w="9072"/>
            <w:shd w:fill="102E38"/>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52" w:lineRule="auto"/>
            </w:pPr>
            <w:r>
              <w:rPr>
                <w:b/>
                <w:color w:val="FFFFFF"/>
                <w:sz w:val="20"/>
              </w:rPr>
              <w:t>Facilitation</w:t>
            </w:r>
          </w:p>
        </w:tc>
      </w:tr>
      <w:tr>
        <w:trPr>
          <w:cantSplit/>
          <w:cantSplit/>
        </w:trPr>
        <w:tc>
          <w:tcPr>
            <w:tcW w:type="dxa" w:w="1152"/>
            <w:shd w:fill="FFFFFF"/>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52" w:lineRule="auto"/>
            </w:pPr>
            <w:r>
              <w:rPr>
                <w:b w:val="0"/>
                <w:color w:val="17323B"/>
                <w:sz w:val="20"/>
              </w:rPr>
              <w:t>0–2</w:t>
            </w:r>
          </w:p>
        </w:tc>
        <w:tc>
          <w:tcPr>
            <w:tcW w:type="dxa" w:w="9072"/>
            <w:shd w:fill="FFFFFF"/>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52" w:lineRule="auto"/>
            </w:pPr>
            <w:r>
              <w:rPr>
                <w:b w:val="0"/>
                <w:color w:val="17323B"/>
                <w:sz w:val="20"/>
              </w:rPr>
              <w:t>Read the goal and local permission aloud.</w:t>
            </w:r>
          </w:p>
        </w:tc>
      </w:tr>
      <w:tr>
        <w:trPr>
          <w:cantSplit/>
          <w:cantSplit/>
        </w:trPr>
        <w:tc>
          <w:tcPr>
            <w:tcW w:type="dxa" w:w="1152"/>
            <w:shd w:fill="F5F1E8"/>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52" w:lineRule="auto"/>
            </w:pPr>
            <w:r>
              <w:rPr>
                <w:b w:val="0"/>
                <w:color w:val="17323B"/>
                <w:sz w:val="20"/>
              </w:rPr>
              <w:t>2–5</w:t>
            </w:r>
          </w:p>
        </w:tc>
        <w:tc>
          <w:tcPr>
            <w:tcW w:type="dxa" w:w="9072"/>
            <w:shd w:fill="F5F1E8"/>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52" w:lineRule="auto"/>
            </w:pPr>
            <w:r>
              <w:rPr>
                <w:b w:val="0"/>
                <w:color w:val="17323B"/>
                <w:sz w:val="20"/>
              </w:rPr>
              <w:t>Students choose independently and write one reason.</w:t>
            </w:r>
          </w:p>
        </w:tc>
      </w:tr>
      <w:tr>
        <w:trPr>
          <w:cantSplit/>
          <w:cantSplit/>
        </w:trPr>
        <w:tc>
          <w:tcPr>
            <w:tcW w:type="dxa" w:w="1152"/>
            <w:shd w:fill="FFFFFF"/>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52" w:lineRule="auto"/>
            </w:pPr>
            <w:r>
              <w:rPr>
                <w:b w:val="0"/>
                <w:color w:val="17323B"/>
                <w:sz w:val="20"/>
              </w:rPr>
              <w:t>5–9</w:t>
            </w:r>
          </w:p>
        </w:tc>
        <w:tc>
          <w:tcPr>
            <w:tcW w:type="dxa" w:w="9072"/>
            <w:shd w:fill="FFFFFF"/>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52" w:lineRule="auto"/>
            </w:pPr>
            <w:r>
              <w:rPr>
                <w:b w:val="0"/>
                <w:color w:val="17323B"/>
                <w:sz w:val="20"/>
              </w:rPr>
              <w:t>Pairs compare reasons and improve one request.</w:t>
            </w:r>
          </w:p>
        </w:tc>
      </w:tr>
      <w:tr>
        <w:trPr>
          <w:cantSplit/>
          <w:cantSplit/>
        </w:trPr>
        <w:tc>
          <w:tcPr>
            <w:tcW w:type="dxa" w:w="1152"/>
            <w:shd w:fill="F5F1E8"/>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52" w:lineRule="auto"/>
            </w:pPr>
            <w:r>
              <w:rPr>
                <w:b w:val="0"/>
                <w:color w:val="17323B"/>
                <w:sz w:val="20"/>
              </w:rPr>
              <w:t>9–13</w:t>
            </w:r>
          </w:p>
        </w:tc>
        <w:tc>
          <w:tcPr>
            <w:tcW w:type="dxa" w:w="9072"/>
            <w:shd w:fill="F5F1E8"/>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52" w:lineRule="auto"/>
            </w:pPr>
            <w:r>
              <w:rPr>
                <w:b w:val="0"/>
                <w:color w:val="17323B"/>
                <w:sz w:val="20"/>
              </w:rPr>
              <w:t>Discuss the three choices using the learning goal.</w:t>
            </w:r>
          </w:p>
        </w:tc>
      </w:tr>
      <w:tr>
        <w:trPr>
          <w:cantSplit/>
          <w:cantSplit/>
        </w:trPr>
        <w:tc>
          <w:tcPr>
            <w:tcW w:type="dxa" w:w="1152"/>
            <w:shd w:fill="FFFFFF"/>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52" w:lineRule="auto"/>
            </w:pPr>
            <w:r>
              <w:rPr>
                <w:b w:val="0"/>
                <w:color w:val="17323B"/>
                <w:sz w:val="20"/>
              </w:rPr>
              <w:t>13–15</w:t>
            </w:r>
          </w:p>
        </w:tc>
        <w:tc>
          <w:tcPr>
            <w:tcW w:type="dxa" w:w="9072"/>
            <w:shd w:fill="FFFFFF"/>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52" w:lineRule="auto"/>
            </w:pPr>
            <w:r>
              <w:rPr>
                <w:b w:val="0"/>
                <w:color w:val="17323B"/>
                <w:sz w:val="20"/>
              </w:rPr>
              <w:t>Exit response: state one boundary and one question.</w:t>
            </w:r>
          </w:p>
        </w:tc>
      </w:tr>
    </w:tbl>
    <w:p>
      <w:pPr>
        <w:spacing w:after="0"/>
      </w:pPr>
      <w:r>
        <w:rPr>
          <w:b w:val="0"/>
        </w:rPr>
      </w:r>
    </w:p>
    <w:p>
      <w:pPr>
        <w:pStyle w:val="Heading1"/>
      </w:pPr>
      <w:r>
        <w:t>Debrief guidance</w:t>
      </w:r>
    </w:p>
    <w:p>
      <w:r>
        <w:rPr>
          <w:b w:val="0"/>
        </w:rPr>
        <w:t>B fits the stated boundary after the student reads and forms an interpretation. A bypasses reading; C supplies the assessed response. Permission depends on this assignment, not a universal list of green tools.</w:t>
      </w:r>
    </w:p>
    <w:p>
      <w:pPr>
        <w:pStyle w:val="Heading1"/>
      </w:pPr>
      <w:r>
        <w:t>What to listen for</w:t>
      </w:r>
    </w:p>
    <w:p>
      <w:r>
        <w:rPr>
          <w:b w:val="0"/>
        </w:rPr>
        <w:t>Choose an allowed form of support without outsourcing the assessed thinking. Ask students to point to the exact permission or source detail that supports their answer.</w:t>
      </w:r>
    </w:p>
    <w:p>
      <w:pPr>
        <w:pStyle w:val="Heading1"/>
      </w:pPr>
      <w:r>
        <w:t>Adaptation</w:t>
      </w:r>
    </w:p>
    <w:p>
      <w:r>
        <w:rPr>
          <w:b w:val="0"/>
        </w:rPr>
        <w:t>Read the scenario aloud and supply accessible text. Permit typed, spoken, or written responses. For asynchronous use, retain the individual attempt before revealing the explanation. Use the exit response to choose the next teaching step, not to infer misconduct.</w:t>
      </w:r>
    </w:p>
    <w:p>
      <w:pPr>
        <w:pStyle w:val="Heading1"/>
        <w:pageBreakBefore/>
      </w:pPr>
      <w:r>
        <w:t>Check a confident claim facilitation</w:t>
      </w:r>
    </w:p>
    <w:p>
      <w:r>
        <w:rPr>
          <w:b w:val="0"/>
        </w:rPr>
        <w:t>Scenario sheet and pen or accessible digital copy. No AI tool required.</w:t>
      </w:r>
    </w:p>
    <w:tbl>
      <w:tblPr>
        <w:tblW w:type="auto" w:w="0"/>
        <w:tblLayout w:type="fixed"/>
        <w:tblLook w:firstColumn="1" w:firstRow="1" w:lastColumn="0" w:lastRow="0" w:noHBand="0" w:noVBand="1" w:val="04A0"/>
      </w:tblPr>
      <w:tblGrid>
        <w:gridCol w:w="1152"/>
        <w:gridCol w:w="9072"/>
      </w:tblGrid>
      <w:tr>
        <w:trPr>
          <w:tblHeader/>
          <w:cantSplit/>
          <w:cantSplit/>
        </w:trPr>
        <w:tc>
          <w:tcPr>
            <w:tcW w:type="dxa" w:w="1152"/>
            <w:shd w:fill="102E38"/>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52" w:lineRule="auto"/>
            </w:pPr>
            <w:r>
              <w:rPr>
                <w:b/>
                <w:color w:val="FFFFFF"/>
                <w:sz w:val="20"/>
              </w:rPr>
              <w:t>Minutes</w:t>
            </w:r>
          </w:p>
        </w:tc>
        <w:tc>
          <w:tcPr>
            <w:tcW w:type="dxa" w:w="9072"/>
            <w:shd w:fill="102E38"/>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52" w:lineRule="auto"/>
            </w:pPr>
            <w:r>
              <w:rPr>
                <w:b/>
                <w:color w:val="FFFFFF"/>
                <w:sz w:val="20"/>
              </w:rPr>
              <w:t>Facilitation</w:t>
            </w:r>
          </w:p>
        </w:tc>
      </w:tr>
      <w:tr>
        <w:trPr>
          <w:cantSplit/>
          <w:cantSplit/>
        </w:trPr>
        <w:tc>
          <w:tcPr>
            <w:tcW w:type="dxa" w:w="1152"/>
            <w:shd w:fill="FFFFFF"/>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52" w:lineRule="auto"/>
            </w:pPr>
            <w:r>
              <w:rPr>
                <w:b w:val="0"/>
                <w:color w:val="17323B"/>
                <w:sz w:val="20"/>
              </w:rPr>
              <w:t>0–2</w:t>
            </w:r>
          </w:p>
        </w:tc>
        <w:tc>
          <w:tcPr>
            <w:tcW w:type="dxa" w:w="9072"/>
            <w:shd w:fill="FFFFFF"/>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52" w:lineRule="auto"/>
            </w:pPr>
            <w:r>
              <w:rPr>
                <w:b w:val="0"/>
                <w:color w:val="17323B"/>
                <w:sz w:val="20"/>
              </w:rPr>
              <w:t>Read the simulated source and claim.</w:t>
            </w:r>
          </w:p>
        </w:tc>
      </w:tr>
      <w:tr>
        <w:trPr>
          <w:cantSplit/>
          <w:cantSplit/>
        </w:trPr>
        <w:tc>
          <w:tcPr>
            <w:tcW w:type="dxa" w:w="1152"/>
            <w:shd w:fill="F5F1E8"/>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52" w:lineRule="auto"/>
            </w:pPr>
            <w:r>
              <w:rPr>
                <w:b w:val="0"/>
                <w:color w:val="17323B"/>
                <w:sz w:val="20"/>
              </w:rPr>
              <w:t>2–6</w:t>
            </w:r>
          </w:p>
        </w:tc>
        <w:tc>
          <w:tcPr>
            <w:tcW w:type="dxa" w:w="9072"/>
            <w:shd w:fill="F5F1E8"/>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52" w:lineRule="auto"/>
            </w:pPr>
            <w:r>
              <w:rPr>
                <w:b w:val="0"/>
                <w:color w:val="17323B"/>
                <w:sz w:val="20"/>
              </w:rPr>
              <w:t>Individually mark supported and unsupported wording.</w:t>
            </w:r>
          </w:p>
        </w:tc>
      </w:tr>
      <w:tr>
        <w:trPr>
          <w:cantSplit/>
          <w:cantSplit/>
        </w:trPr>
        <w:tc>
          <w:tcPr>
            <w:tcW w:type="dxa" w:w="1152"/>
            <w:shd w:fill="FFFFFF"/>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52" w:lineRule="auto"/>
            </w:pPr>
            <w:r>
              <w:rPr>
                <w:b w:val="0"/>
                <w:color w:val="17323B"/>
                <w:sz w:val="20"/>
              </w:rPr>
              <w:t>6–10</w:t>
            </w:r>
          </w:p>
        </w:tc>
        <w:tc>
          <w:tcPr>
            <w:tcW w:type="dxa" w:w="9072"/>
            <w:shd w:fill="FFFFFF"/>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52" w:lineRule="auto"/>
            </w:pPr>
            <w:r>
              <w:rPr>
                <w:b w:val="0"/>
                <w:color w:val="17323B"/>
                <w:sz w:val="20"/>
              </w:rPr>
              <w:t>Pairs agree on a qualified replacement sentence.</w:t>
            </w:r>
          </w:p>
        </w:tc>
      </w:tr>
      <w:tr>
        <w:trPr>
          <w:cantSplit/>
          <w:cantSplit/>
        </w:trPr>
        <w:tc>
          <w:tcPr>
            <w:tcW w:type="dxa" w:w="1152"/>
            <w:shd w:fill="F5F1E8"/>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52" w:lineRule="auto"/>
            </w:pPr>
            <w:r>
              <w:rPr>
                <w:b w:val="0"/>
                <w:color w:val="17323B"/>
                <w:sz w:val="20"/>
              </w:rPr>
              <w:t>10–13</w:t>
            </w:r>
          </w:p>
        </w:tc>
        <w:tc>
          <w:tcPr>
            <w:tcW w:type="dxa" w:w="9072"/>
            <w:shd w:fill="F5F1E8"/>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52" w:lineRule="auto"/>
            </w:pPr>
            <w:r>
              <w:rPr>
                <w:b w:val="0"/>
                <w:color w:val="17323B"/>
                <w:sz w:val="20"/>
              </w:rPr>
              <w:t>Compare two revisions and the evidence each uses.</w:t>
            </w:r>
          </w:p>
        </w:tc>
      </w:tr>
      <w:tr>
        <w:trPr>
          <w:cantSplit/>
          <w:cantSplit/>
        </w:trPr>
        <w:tc>
          <w:tcPr>
            <w:tcW w:type="dxa" w:w="1152"/>
            <w:shd w:fill="FFFFFF"/>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52" w:lineRule="auto"/>
            </w:pPr>
            <w:r>
              <w:rPr>
                <w:b w:val="0"/>
                <w:color w:val="17323B"/>
                <w:sz w:val="20"/>
              </w:rPr>
              <w:t>13–15</w:t>
            </w:r>
          </w:p>
        </w:tc>
        <w:tc>
          <w:tcPr>
            <w:tcW w:type="dxa" w:w="9072"/>
            <w:shd w:fill="FFFFFF"/>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52" w:lineRule="auto"/>
            </w:pPr>
            <w:r>
              <w:rPr>
                <w:b w:val="0"/>
                <w:color w:val="17323B"/>
                <w:sz w:val="20"/>
              </w:rPr>
              <w:t>Exit response: name evidence needed for a stronger claim.</w:t>
            </w:r>
          </w:p>
        </w:tc>
      </w:tr>
    </w:tbl>
    <w:p>
      <w:pPr>
        <w:spacing w:after="0"/>
      </w:pPr>
      <w:r>
        <w:rPr>
          <w:b w:val="0"/>
        </w:rPr>
      </w:r>
    </w:p>
    <w:p>
      <w:pPr>
        <w:pStyle w:val="Heading1"/>
      </w:pPr>
      <w:r>
        <w:t>Debrief guidance</w:t>
      </w:r>
    </w:p>
    <w:p>
      <w:r>
        <w:rPr>
          <w:b w:val="0"/>
        </w:rPr>
        <w:t>The observed mean rose by 9 points among these volunteers. The study does not establish cause, effects for all students, or equal outcomes in other courses. A defensible sentence preserves those limits.</w:t>
      </w:r>
    </w:p>
    <w:p>
      <w:pPr>
        <w:pStyle w:val="Heading1"/>
      </w:pPr>
      <w:r>
        <w:t>What to listen for</w:t>
      </w:r>
    </w:p>
    <w:p>
      <w:r>
        <w:rPr>
          <w:b w:val="0"/>
        </w:rPr>
        <w:t>Use source evidence to correct an overconfident AI statement. Ask students to point to the exact permission or source detail that supports their answer.</w:t>
      </w:r>
    </w:p>
    <w:p>
      <w:pPr>
        <w:pStyle w:val="Heading1"/>
      </w:pPr>
      <w:r>
        <w:t>Adaptation</w:t>
      </w:r>
    </w:p>
    <w:p>
      <w:r>
        <w:rPr>
          <w:b w:val="0"/>
        </w:rPr>
        <w:t>Read the scenario aloud and supply accessible text. Permit typed, spoken, or written responses. For asynchronous use, retain the individual attempt before revealing the explanation. Use the exit response to choose the next teaching step, not to infer misconduct.</w:t>
      </w:r>
    </w:p>
    <w:p>
      <w:pPr>
        <w:pStyle w:val="Heading1"/>
        <w:pageBreakBefore/>
      </w:pPr>
      <w:r>
        <w:t>Accept adapt or reject facilitation</w:t>
      </w:r>
    </w:p>
    <w:p>
      <w:r>
        <w:rPr>
          <w:b w:val="0"/>
        </w:rPr>
        <w:t>Scenario sheet. Optional calculator. No AI account required.</w:t>
      </w:r>
    </w:p>
    <w:tbl>
      <w:tblPr>
        <w:tblW w:type="auto" w:w="0"/>
        <w:tblLayout w:type="fixed"/>
        <w:tblLook w:firstColumn="1" w:firstRow="1" w:lastColumn="0" w:lastRow="0" w:noHBand="0" w:noVBand="1" w:val="04A0"/>
      </w:tblPr>
      <w:tblGrid>
        <w:gridCol w:w="1152"/>
        <w:gridCol w:w="9072"/>
      </w:tblGrid>
      <w:tr>
        <w:trPr>
          <w:tblHeader/>
          <w:cantSplit/>
          <w:cantSplit/>
        </w:trPr>
        <w:tc>
          <w:tcPr>
            <w:tcW w:type="dxa" w:w="1152"/>
            <w:shd w:fill="102E38"/>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52" w:lineRule="auto"/>
            </w:pPr>
            <w:r>
              <w:rPr>
                <w:b/>
                <w:color w:val="FFFFFF"/>
                <w:sz w:val="20"/>
              </w:rPr>
              <w:t>Minutes</w:t>
            </w:r>
          </w:p>
        </w:tc>
        <w:tc>
          <w:tcPr>
            <w:tcW w:type="dxa" w:w="9072"/>
            <w:shd w:fill="102E38"/>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52" w:lineRule="auto"/>
            </w:pPr>
            <w:r>
              <w:rPr>
                <w:b/>
                <w:color w:val="FFFFFF"/>
                <w:sz w:val="20"/>
              </w:rPr>
              <w:t>Facilitation</w:t>
            </w:r>
          </w:p>
        </w:tc>
      </w:tr>
      <w:tr>
        <w:trPr>
          <w:cantSplit/>
          <w:cantSplit/>
        </w:trPr>
        <w:tc>
          <w:tcPr>
            <w:tcW w:type="dxa" w:w="1152"/>
            <w:shd w:fill="FFFFFF"/>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52" w:lineRule="auto"/>
            </w:pPr>
            <w:r>
              <w:rPr>
                <w:b w:val="0"/>
                <w:color w:val="17323B"/>
                <w:sz w:val="20"/>
              </w:rPr>
              <w:t>0–2</w:t>
            </w:r>
          </w:p>
        </w:tc>
        <w:tc>
          <w:tcPr>
            <w:tcW w:type="dxa" w:w="9072"/>
            <w:shd w:fill="FFFFFF"/>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52" w:lineRule="auto"/>
            </w:pPr>
            <w:r>
              <w:rPr>
                <w:b w:val="0"/>
                <w:color w:val="17323B"/>
                <w:sz w:val="20"/>
              </w:rPr>
              <w:t>Read the packet, draft, and feedback.</w:t>
            </w:r>
          </w:p>
        </w:tc>
      </w:tr>
      <w:tr>
        <w:trPr>
          <w:cantSplit/>
          <w:cantSplit/>
        </w:trPr>
        <w:tc>
          <w:tcPr>
            <w:tcW w:type="dxa" w:w="1152"/>
            <w:shd w:fill="F5F1E8"/>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52" w:lineRule="auto"/>
            </w:pPr>
            <w:r>
              <w:rPr>
                <w:b w:val="0"/>
                <w:color w:val="17323B"/>
                <w:sz w:val="20"/>
              </w:rPr>
              <w:t>2–6</w:t>
            </w:r>
          </w:p>
        </w:tc>
        <w:tc>
          <w:tcPr>
            <w:tcW w:type="dxa" w:w="9072"/>
            <w:shd w:fill="F5F1E8"/>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52" w:lineRule="auto"/>
            </w:pPr>
            <w:r>
              <w:rPr>
                <w:b w:val="0"/>
                <w:color w:val="17323B"/>
                <w:sz w:val="20"/>
              </w:rPr>
              <w:t>Individually classify and justify each suggestion.</w:t>
            </w:r>
          </w:p>
        </w:tc>
      </w:tr>
      <w:tr>
        <w:trPr>
          <w:cantSplit/>
          <w:cantSplit/>
        </w:trPr>
        <w:tc>
          <w:tcPr>
            <w:tcW w:type="dxa" w:w="1152"/>
            <w:shd w:fill="FFFFFF"/>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52" w:lineRule="auto"/>
            </w:pPr>
            <w:r>
              <w:rPr>
                <w:b w:val="0"/>
                <w:color w:val="17323B"/>
                <w:sz w:val="20"/>
              </w:rPr>
              <w:t>6–10</w:t>
            </w:r>
          </w:p>
        </w:tc>
        <w:tc>
          <w:tcPr>
            <w:tcW w:type="dxa" w:w="9072"/>
            <w:shd w:fill="FFFFFF"/>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52" w:lineRule="auto"/>
            </w:pPr>
            <w:r>
              <w:rPr>
                <w:b w:val="0"/>
                <w:color w:val="17323B"/>
                <w:sz w:val="20"/>
              </w:rPr>
              <w:t>Write a two-sentence revision from the packet.</w:t>
            </w:r>
          </w:p>
        </w:tc>
      </w:tr>
      <w:tr>
        <w:trPr>
          <w:cantSplit/>
          <w:cantSplit/>
        </w:trPr>
        <w:tc>
          <w:tcPr>
            <w:tcW w:type="dxa" w:w="1152"/>
            <w:shd w:fill="F5F1E8"/>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52" w:lineRule="auto"/>
            </w:pPr>
            <w:r>
              <w:rPr>
                <w:b w:val="0"/>
                <w:color w:val="17323B"/>
                <w:sz w:val="20"/>
              </w:rPr>
              <w:t>10–13</w:t>
            </w:r>
          </w:p>
        </w:tc>
        <w:tc>
          <w:tcPr>
            <w:tcW w:type="dxa" w:w="9072"/>
            <w:shd w:fill="F5F1E8"/>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52" w:lineRule="auto"/>
            </w:pPr>
            <w:r>
              <w:rPr>
                <w:b w:val="0"/>
                <w:color w:val="17323B"/>
                <w:sz w:val="20"/>
              </w:rPr>
              <w:t>Pairs explain decisions and identify unsupported wording.</w:t>
            </w:r>
          </w:p>
        </w:tc>
      </w:tr>
      <w:tr>
        <w:trPr>
          <w:cantSplit/>
          <w:cantSplit/>
        </w:trPr>
        <w:tc>
          <w:tcPr>
            <w:tcW w:type="dxa" w:w="1152"/>
            <w:shd w:fill="FFFFFF"/>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52" w:lineRule="auto"/>
            </w:pPr>
            <w:r>
              <w:rPr>
                <w:b w:val="0"/>
                <w:color w:val="17323B"/>
                <w:sz w:val="20"/>
              </w:rPr>
              <w:t>13–15</w:t>
            </w:r>
          </w:p>
        </w:tc>
        <w:tc>
          <w:tcPr>
            <w:tcW w:type="dxa" w:w="9072"/>
            <w:shd w:fill="FFFFFF"/>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52" w:lineRule="auto"/>
            </w:pPr>
            <w:r>
              <w:rPr>
                <w:b w:val="0"/>
                <w:color w:val="17323B"/>
                <w:sz w:val="20"/>
              </w:rPr>
              <w:t>Exit response: identify one choice that remained yours.</w:t>
            </w:r>
          </w:p>
        </w:tc>
      </w:tr>
    </w:tbl>
    <w:p>
      <w:pPr>
        <w:spacing w:after="0"/>
      </w:pPr>
      <w:r>
        <w:rPr>
          <w:b w:val="0"/>
        </w:rPr>
      </w:r>
    </w:p>
    <w:p>
      <w:pPr>
        <w:pStyle w:val="Heading1"/>
      </w:pPr>
      <w:r>
        <w:t>Debrief guidance</w:t>
      </w:r>
    </w:p>
    <w:p>
      <w:r>
        <w:rPr>
          <w:b w:val="0"/>
        </w:rPr>
        <w:t>Accept A: the denominator and voluntary sampling matter. Adapt B: a pilot is a defensible proposal if scope and cost are explained. Reject C: the packet contains no grade evidence. Different recommendations are acceptable when supported.</w:t>
      </w:r>
    </w:p>
    <w:p>
      <w:pPr>
        <w:pStyle w:val="Heading1"/>
      </w:pPr>
      <w:r>
        <w:t>What to listen for</w:t>
      </w:r>
    </w:p>
    <w:p>
      <w:r>
        <w:rPr>
          <w:b w:val="0"/>
        </w:rPr>
        <w:t>Explain revision choices while retaining authorship. Ask students to point to the exact permission or source detail that supports their answer.</w:t>
      </w:r>
    </w:p>
    <w:p>
      <w:pPr>
        <w:pStyle w:val="Heading1"/>
      </w:pPr>
      <w:r>
        <w:t>Adaptation</w:t>
      </w:r>
    </w:p>
    <w:p>
      <w:r>
        <w:rPr>
          <w:b w:val="0"/>
        </w:rPr>
        <w:t>Read the scenario aloud and supply accessible text. Permit typed, spoken, or written responses. For asynchronous use, retain the individual attempt before revealing the explanation. Use the exit response to choose the next teaching step, not to infer misconduct.</w:t>
      </w:r>
    </w:p>
    <w:sectPr w:rsidR="00FC693F" w:rsidRPr="0006063C" w:rsidSect="00034616">
      <w:headerReference w:type="default" r:id="rId9"/>
      <w:footerReference w:type="default" r:id="rId10"/>
      <w:pgSz w:w="12240" w:h="15840"/>
      <w:pgMar w:top="1224" w:right="1008" w:bottom="1008" w:left="1008" w:header="432" w:footer="461"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80" w:after="0" w:line="240" w:lineRule="auto"/>
    </w:pPr>
    <w:r>
      <w:rPr>
        <w:rFonts w:ascii="Arial" w:hAnsi="Arial"/>
        <w:color w:val="42606A"/>
        <w:sz w:val="16"/>
      </w:rPr>
      <w:t>RAFT</w:t>
    </w:r>
    <w:r>
      <w:rPr>
        <w:rFonts w:ascii="Arial" w:hAnsi="Arial"/>
        <w:color w:val="42606A"/>
        <w:sz w:val="8"/>
        <w:position w:val="6"/>
      </w:rPr>
      <w:t>TM</w:t>
    </w:r>
    <w:r>
      <w:rPr>
        <w:rFonts w:ascii="Arial" w:hAnsi="Arial"/>
        <w:color w:val="42606A"/>
        <w:sz w:val="16"/>
      </w:rPr>
      <w:t xml:space="preserve"> | Classroom activities v2.1 (009019026) | </w:t>
    </w:r>
    <w:hyperlink r:id="rId1">
      <w:r>
        <w:rPr>
          <w:rFonts w:ascii="Arial" w:hAnsi="Arial"/>
          <w:color w:val="42606A"/>
          <w:sz w:val="16"/>
          <w:u w:val="single"/>
        </w:rPr>
        <w:t>raftframework.org</w:t>
      </w:r>
    </w:hyperlink>
  </w:p>
  <w:p>
    <w:pPr>
      <w:pStyle w:val="Footer"/>
      <w:tabs>
        <w:tab w:pos="10224" w:val="right"/>
      </w:tabs>
      <w:spacing w:before="60" w:after="0" w:line="240" w:lineRule="auto"/>
    </w:pPr>
    <w:r>
      <w:rPr>
        <w:rFonts w:ascii="Arial" w:hAnsi="Arial"/>
        <w:color w:val="42606A"/>
        <w:sz w:val="16"/>
      </w:rPr>
      <w:t xml:space="preserve">Dr. Chase Cookson | </w:t>
    </w:r>
    <w:hyperlink r:id="rId2">
      <w:r>
        <w:rPr>
          <w:rFonts w:ascii="Arial" w:hAnsi="Arial"/>
          <w:color w:val="42606A"/>
          <w:sz w:val="16"/>
          <w:u w:val="single"/>
        </w:rPr>
        <w:t>chase@raftframework.org</w:t>
      </w:r>
    </w:hyperlink>
    <w:r>
      <w:rPr>
        <w:rFonts w:ascii="Arial" w:hAnsi="Arial"/>
        <w:color w:val="42606A"/>
        <w:sz w:val="16"/>
      </w:rPr>
      <w:t xml:space="preserve"> | (816) 794-2610</w:t>
      <w:tab/>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drawing>
        <wp:inline xmlns:a="http://schemas.openxmlformats.org/drawingml/2006/main" xmlns:pic="http://schemas.openxmlformats.org/drawingml/2006/picture">
          <wp:extent cx="1481328" cy="264523"/>
          <wp:docPr id="1" name="Picture 1" descr="RAFT for Ethical AI Use"/>
          <wp:cNvGraphicFramePr>
            <a:graphicFrameLocks noChangeAspect="1"/>
          </wp:cNvGraphicFramePr>
          <a:graphic>
            <a:graphicData uri="http://schemas.openxmlformats.org/drawingml/2006/picture">
              <pic:pic>
                <pic:nvPicPr>
                  <pic:cNvPr id="0" name="raft-wordmark.png"/>
                  <pic:cNvPicPr/>
                </pic:nvPicPr>
                <pic:blipFill>
                  <a:blip r:embed="rId1"/>
                  <a:stretch>
                    <a:fillRect/>
                  </a:stretch>
                </pic:blipFill>
                <pic:spPr>
                  <a:xfrm>
                    <a:off x="0" y="0"/>
                    <a:ext cx="1481328" cy="264523"/>
                  </a:xfrm>
                  <a:prstGeom prst="rect"/>
                </pic:spPr>
              </pic:pic>
            </a:graphicData>
          </a:graphic>
        </wp:inline>
      </w:drawing>
    </w:r>
    <w:r>
      <w:pict>
        <v:shape id="RaftTrademark" type="#_x0000_t202" style="position:absolute;margin-left:54pt;margin-top:0pt;width:12pt;height:9pt;z-index:251659264;mso-position-horizontal-relative:text;mso-position-vertical-relative:text" stroked="f" filled="f">
          <v:textbox inset="0,0,0,0">
            <w:txbxContent>
              <w:p>
                <w:pPr>
                  <w:spacing w:before="0" w:after="0" w:line="120" w:lineRule="exact"/>
                </w:pPr>
                <w:r>
                  <w:rPr>
                    <w:rFonts w:ascii="Arial" w:hAnsi="Arial"/>
                    <w:color w:val="17323B"/>
                    <w:sz w:val="9"/>
                  </w:rPr>
                  <w:t>TM</w:t>
                </w:r>
              </w:p>
            </w:txbxContent>
          </v:textbox>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69" w:lineRule="auto" w:after="140"/>
    </w:pPr>
    <w:rPr>
      <w:rFonts w:ascii="Arial" w:hAnsi="Arial"/>
      <w:color w:val="17323B"/>
      <w:sz w:val="22"/>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spacing w:after="0" w:line="240" w:lineRule="auto"/>
    </w:pPr>
    <w:rPr>
      <w:rFonts w:ascii="Arial" w:hAnsi="Arial"/>
      <w:color w:val="42606A"/>
      <w:sz w:val="16"/>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40"/>
      <w:outlineLvl w:val="0"/>
    </w:pPr>
    <w:rPr>
      <w:rFonts w:ascii="Georgia" w:hAnsi="Georgia" w:eastAsia="Georgia" w:cs="Georgia"/>
      <w:b/>
      <w:bCs/>
      <w:color w:val="17323B"/>
      <w:sz w:val="36"/>
      <w:szCs w:val="28"/>
    </w:rPr>
  </w:style>
  <w:style w:type="paragraph" w:styleId="Heading2">
    <w:name w:val="heading 2"/>
    <w:basedOn w:val="Normal"/>
    <w:next w:val="Normal"/>
    <w:link w:val="Heading2Char"/>
    <w:uiPriority w:val="9"/>
    <w:unhideWhenUsed/>
    <w:qFormat/>
    <w:rsid w:val="00FC693F"/>
    <w:pPr>
      <w:keepNext/>
      <w:keepLines/>
      <w:spacing w:before="240" w:after="140"/>
      <w:outlineLvl w:val="1"/>
    </w:pPr>
    <w:rPr>
      <w:rFonts w:ascii="Georgia" w:hAnsi="Georgia" w:eastAsia="Georgia" w:cs="Georgia"/>
      <w:b/>
      <w:bCs/>
      <w:color w:val="17323B"/>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40" w:line="240" w:lineRule="auto" w:before="0"/>
      <w:contextualSpacing/>
    </w:pPr>
    <w:rPr>
      <w:rFonts w:ascii="Georgia" w:hAnsi="Georgia" w:eastAsia="Georgia" w:cs="Georgia"/>
      <w:b/>
      <w:color w:val="17323B"/>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line="269" w:lineRule="auto" w:after="140"/>
      <w:contextualSpacing/>
    </w:pPr>
    <w:rPr>
      <w:rFonts w:ascii="Arial" w:hAnsi="Arial"/>
      <w:color w:val="17323B"/>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line="269" w:lineRule="auto" w:after="140"/>
      <w:contextualSpacing/>
    </w:pPr>
    <w:rPr>
      <w:rFonts w:ascii="Arial" w:hAnsi="Arial"/>
      <w:color w:val="17323B"/>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raftframework.org" TargetMode="External"/><Relationship Id="rId2" Type="http://schemas.openxmlformats.org/officeDocument/2006/relationships/hyperlink" Target="mailto:chase@raftframework.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15 minute RAFT classroom activities</dc:title>
  <dc:subject>The RAFT Framework for Ethical AI Use</dc:subject>
  <dc:creator>Dr. Chase Cookson</dc:creator>
  <cp:keywords/>
  <dc:description>generated by python-docx</dc:description>
  <cp:lastModifiedBy/>
  <cp:revision>1</cp:revision>
  <dcterms:created xsi:type="dcterms:W3CDTF">2013-12-23T23:15:00Z</dcterms:created>
  <dcterms:modified xsi:type="dcterms:W3CDTF">2013-12-23T23:15:00Z</dcterms:modified>
  <cp:category/>
  <dc:language>en-US</dc:language>
  <cp:version>2.1</cp:version>
</cp:coreProperties>
</file>